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FF6" w:rsidRPr="00B21D4F" w:rsidRDefault="00540FF6" w:rsidP="00540FF6">
      <w:pPr>
        <w:pStyle w:val="Nagwek1"/>
        <w:jc w:val="left"/>
        <w:rPr>
          <w:rFonts w:ascii="Lato" w:hAnsi="Lato" w:cs="Arial"/>
          <w:b/>
          <w:bCs/>
          <w:sz w:val="20"/>
        </w:rPr>
      </w:pPr>
    </w:p>
    <w:p w:rsidR="00540FF6" w:rsidRPr="00B21D4F" w:rsidRDefault="00540FF6" w:rsidP="00540FF6">
      <w:pPr>
        <w:jc w:val="right"/>
        <w:rPr>
          <w:rFonts w:ascii="Lato" w:hAnsi="Lato" w:cs="Arial"/>
          <w:b/>
          <w:bCs/>
          <w:sz w:val="20"/>
          <w:szCs w:val="20"/>
        </w:rPr>
      </w:pPr>
      <w:r w:rsidRPr="00B21D4F">
        <w:rPr>
          <w:rFonts w:ascii="Lato" w:hAnsi="Lato" w:cs="Arial"/>
          <w:noProof/>
          <w:sz w:val="20"/>
          <w:szCs w:val="20"/>
        </w:rPr>
        <w:t xml:space="preserve">                      </w:t>
      </w:r>
      <w:r w:rsidRPr="00B21D4F">
        <w:rPr>
          <w:rFonts w:ascii="Lato" w:hAnsi="Lato" w:cs="Arial"/>
          <w:b/>
          <w:bCs/>
          <w:sz w:val="20"/>
          <w:szCs w:val="20"/>
        </w:rPr>
        <w:t xml:space="preserve">Załącznik nr </w:t>
      </w:r>
      <w:r w:rsidR="00A133EF">
        <w:rPr>
          <w:rFonts w:ascii="Lato" w:hAnsi="Lato" w:cs="Arial"/>
          <w:b/>
          <w:bCs/>
          <w:sz w:val="20"/>
          <w:szCs w:val="20"/>
        </w:rPr>
        <w:t>2</w:t>
      </w:r>
      <w:bookmarkStart w:id="0" w:name="_GoBack"/>
      <w:bookmarkEnd w:id="0"/>
      <w:r w:rsidRPr="00B21D4F">
        <w:rPr>
          <w:rFonts w:ascii="Lato" w:hAnsi="Lato" w:cs="Arial"/>
          <w:b/>
          <w:bCs/>
          <w:sz w:val="20"/>
          <w:szCs w:val="20"/>
        </w:rPr>
        <w:t xml:space="preserve"> do SWZ</w:t>
      </w:r>
    </w:p>
    <w:p w:rsidR="00540FF6" w:rsidRPr="00B21D4F" w:rsidRDefault="00540FF6" w:rsidP="00540FF6">
      <w:pPr>
        <w:spacing w:before="120"/>
        <w:jc w:val="both"/>
        <w:rPr>
          <w:rFonts w:ascii="Lato" w:hAnsi="Lato" w:cs="Arial"/>
          <w:sz w:val="20"/>
          <w:szCs w:val="20"/>
        </w:rPr>
      </w:pPr>
    </w:p>
    <w:p w:rsidR="00540FF6" w:rsidRPr="00B21D4F" w:rsidRDefault="00540FF6" w:rsidP="00540FF6">
      <w:pPr>
        <w:pStyle w:val="Tekstprzypisudolnego"/>
        <w:spacing w:before="240"/>
        <w:jc w:val="right"/>
        <w:rPr>
          <w:rFonts w:ascii="Lato" w:hAnsi="Lato" w:cs="Arial"/>
          <w:spacing w:val="4"/>
        </w:rPr>
      </w:pPr>
      <w:r w:rsidRPr="00B21D4F">
        <w:rPr>
          <w:rFonts w:ascii="Lato" w:hAnsi="Lato" w:cs="Arial"/>
          <w:spacing w:val="4"/>
        </w:rPr>
        <w:t>………………………………….., dnia ………………….</w:t>
      </w:r>
    </w:p>
    <w:p w:rsidR="00540FF6" w:rsidRPr="00B21D4F" w:rsidRDefault="00540FF6" w:rsidP="00540FF6">
      <w:pPr>
        <w:spacing w:before="120"/>
        <w:jc w:val="both"/>
        <w:rPr>
          <w:rFonts w:ascii="Lato" w:hAnsi="Lato" w:cs="Arial"/>
          <w:sz w:val="20"/>
          <w:szCs w:val="20"/>
        </w:rPr>
      </w:pPr>
    </w:p>
    <w:p w:rsidR="00540FF6" w:rsidRPr="00B21D4F" w:rsidRDefault="00540FF6" w:rsidP="00540FF6">
      <w:pPr>
        <w:spacing w:before="120"/>
        <w:jc w:val="both"/>
        <w:rPr>
          <w:rFonts w:ascii="Lato" w:hAnsi="Lato" w:cs="Arial"/>
          <w:sz w:val="20"/>
          <w:szCs w:val="20"/>
        </w:rPr>
      </w:pPr>
    </w:p>
    <w:p w:rsidR="00540FF6" w:rsidRPr="00B21D4F" w:rsidRDefault="00540FF6" w:rsidP="00540FF6">
      <w:pPr>
        <w:spacing w:before="120"/>
        <w:jc w:val="both"/>
        <w:rPr>
          <w:rFonts w:ascii="Lato" w:hAnsi="Lato" w:cs="Arial"/>
          <w:sz w:val="20"/>
          <w:szCs w:val="20"/>
        </w:rPr>
      </w:pPr>
    </w:p>
    <w:p w:rsidR="00540FF6" w:rsidRPr="00B21D4F" w:rsidRDefault="00540FF6" w:rsidP="00540FF6">
      <w:pPr>
        <w:spacing w:before="120"/>
        <w:jc w:val="center"/>
        <w:rPr>
          <w:rFonts w:ascii="Lato" w:hAnsi="Lato" w:cs="Arial"/>
          <w:b/>
          <w:sz w:val="20"/>
          <w:szCs w:val="20"/>
        </w:rPr>
      </w:pPr>
      <w:r w:rsidRPr="00B21D4F">
        <w:rPr>
          <w:rFonts w:ascii="Lato" w:hAnsi="Lato" w:cs="Arial"/>
          <w:b/>
          <w:sz w:val="20"/>
          <w:szCs w:val="20"/>
        </w:rPr>
        <w:t>PARAMETRY OFEROWANE</w:t>
      </w:r>
    </w:p>
    <w:p w:rsidR="00540FF6" w:rsidRPr="00082019" w:rsidRDefault="00540FF6" w:rsidP="00540FF6">
      <w:pPr>
        <w:spacing w:before="120"/>
        <w:rPr>
          <w:rFonts w:ascii="Lato" w:hAnsi="Lato" w:cs="Arial"/>
          <w:b/>
          <w:sz w:val="20"/>
          <w:szCs w:val="20"/>
        </w:rPr>
      </w:pPr>
      <w:r w:rsidRPr="00082019">
        <w:rPr>
          <w:rFonts w:ascii="Lato" w:hAnsi="Lato" w:cs="Arial"/>
          <w:sz w:val="20"/>
          <w:szCs w:val="20"/>
        </w:rPr>
        <w:t>Przystępując do prowadzonego przez Ministerstwo Aktywów Państwowych postępowania o udzielenie zamówienia publicznego na zakup przełączników sieciowych na potrzeby modernizacji infrastruktury sieciowej MAP oferujemy sprzęt:</w:t>
      </w:r>
      <w:r w:rsidR="00BF2043" w:rsidRPr="00082019">
        <w:rPr>
          <w:rFonts w:ascii="Lato" w:hAnsi="Lato" w:cs="Arial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0FF6" w:rsidRPr="00082019" w:rsidRDefault="00540FF6" w:rsidP="00CE28EC">
      <w:pPr>
        <w:rPr>
          <w:rFonts w:ascii="Lato" w:hAnsi="Lato" w:cs="Arial"/>
          <w:sz w:val="20"/>
          <w:szCs w:val="20"/>
        </w:rPr>
      </w:pPr>
    </w:p>
    <w:p w:rsidR="00CE28EC" w:rsidRPr="00082019" w:rsidRDefault="00CE28EC" w:rsidP="00241650">
      <w:pPr>
        <w:rPr>
          <w:rFonts w:ascii="Lato" w:hAnsi="Lato" w:cs="Arial"/>
          <w:b/>
          <w:sz w:val="20"/>
          <w:szCs w:val="20"/>
        </w:rPr>
      </w:pPr>
      <w:r w:rsidRPr="00082019">
        <w:rPr>
          <w:rFonts w:ascii="Lato" w:hAnsi="Lato" w:cs="Arial"/>
          <w:b/>
          <w:sz w:val="20"/>
          <w:szCs w:val="20"/>
        </w:rPr>
        <w:t>Przełączniki muszą spełniać wymagania:</w:t>
      </w:r>
    </w:p>
    <w:tbl>
      <w:tblPr>
        <w:tblStyle w:val="Tabela-Siatka"/>
        <w:tblW w:w="9133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7148"/>
        <w:gridCol w:w="1947"/>
        <w:gridCol w:w="38"/>
      </w:tblGrid>
      <w:tr w:rsidR="000A6664" w:rsidRPr="00082019" w:rsidTr="00B21D4F">
        <w:trPr>
          <w:gridAfter w:val="1"/>
          <w:wAfter w:w="38" w:type="dxa"/>
        </w:trPr>
        <w:tc>
          <w:tcPr>
            <w:tcW w:w="7148" w:type="dxa"/>
          </w:tcPr>
          <w:p w:rsidR="000A6664" w:rsidRPr="00082019" w:rsidRDefault="000A6664" w:rsidP="00B21D4F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082019">
              <w:rPr>
                <w:rFonts w:ascii="Lato" w:hAnsi="Lato" w:cs="Arial"/>
                <w:b/>
                <w:sz w:val="20"/>
                <w:szCs w:val="20"/>
              </w:rPr>
              <w:t>Wymagania Zamawiającego</w:t>
            </w:r>
          </w:p>
        </w:tc>
        <w:tc>
          <w:tcPr>
            <w:tcW w:w="1947" w:type="dxa"/>
          </w:tcPr>
          <w:p w:rsidR="000A6664" w:rsidRPr="00082019" w:rsidRDefault="000A6664" w:rsidP="00CE1F6C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082019">
              <w:rPr>
                <w:rFonts w:ascii="Lato" w:hAnsi="Lato" w:cs="Arial"/>
                <w:b/>
                <w:sz w:val="20"/>
                <w:szCs w:val="20"/>
              </w:rPr>
              <w:t>Oświadczenie Wykonawcy  o spełnieniu wymagań Zamawiającego</w:t>
            </w:r>
          </w:p>
        </w:tc>
      </w:tr>
      <w:tr w:rsidR="00B21D4F" w:rsidRPr="00082019" w:rsidTr="00B21D4F">
        <w:trPr>
          <w:trHeight w:val="334"/>
        </w:trPr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  <w:lang w:eastAsia="pl-PL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Typ i liczba portów: [C9200L-48P-4X] 48 portów 10/100/1000BaseT RJ-45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PoE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+ (zgodne z IEEE 802.3at) +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uplink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4x10G SFP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trike/>
                <w:sz w:val="20"/>
                <w:szCs w:val="20"/>
              </w:rPr>
            </w:pPr>
            <w:bookmarkStart w:id="1" w:name="_gjdgxs"/>
            <w:bookmarkEnd w:id="1"/>
            <w:r w:rsidRPr="00082019">
              <w:rPr>
                <w:rFonts w:ascii="Lato" w:eastAsia="Calibri" w:hAnsi="Lato"/>
                <w:sz w:val="20"/>
                <w:szCs w:val="20"/>
              </w:rPr>
              <w:t>2.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Moc dostępna dla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PoE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(z jednym zasilaczem) [C9200L-48P] – 740W</w:t>
            </w:r>
          </w:p>
        </w:tc>
        <w:tc>
          <w:tcPr>
            <w:tcW w:w="1985" w:type="dxa"/>
            <w:gridSpan w:val="2"/>
          </w:tcPr>
          <w:p w:rsidR="00B21D4F" w:rsidRPr="00082019" w:rsidRDefault="002F79AC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3.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Porty SFP/SFP+ możliwe do obsadzenia szerokim wachlarzem wkładek zależnie od potrzeb: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3.1.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Porty SFP – wkładki Gigabit Ethernet – w tym  1000Base-T, 1000Base-SX, 1000Base-LX/LH, 1000Base-EX, 1000Base-ZX, 1000Base-BX-D/U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3.2.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Porty SFP+ - wkładki  Gigabit Ethernet – w tym  1000Base-T, 1000Base-SX, 1000Base-LX/LH, 1000Base-EX, 1000Base-ZX, 1000Base-BX-D/U oraz 10Gigabit Ethernet – w tym 10GBase-SR, 10GBase-LR, 10GBase-ER, 10GBase-ZR, 10GBase-BX-D/U,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twinax</w:t>
            </w:r>
            <w:proofErr w:type="spellEnd"/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4.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Możliwość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stackowania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przełączników z zapewnieniem następujących funkcjonalności: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4.0.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Przełącznik musi być wyposażony w moduł oraz niezbędne kable umożliwiające łączenie w stos,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4.1.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Przepustowość w ramach stosu - 80Gb/s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4.2.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8 urządzeń w stosie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4.3.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Zarządzanie poprzez jeden adres IP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4.4.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Możliwość tworzenia połączeń cross-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stack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Link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Aggregation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(czyli dla portów należących do różnych jednostek w stosie) zgodnie z IEEE 802.3ad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5.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Zasilanie i chłodzenie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5.1.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Możliwość instalacji zasilacza redundantnego AC 230V. Zasilacze wymienne (możliwość instalacji/wymiany „na gorąco” – ang. hot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swap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>)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lastRenderedPageBreak/>
              <w:t>5.2.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Przełącznik umożliwia podtrzymanie zasilania z portów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PoE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podczas restartu urządzenia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5.3.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Redundantne wentylatory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6.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Parametry wydajnościowe: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6.1.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Szybkość przełączania zapewniająca pracę z pełną wydajnością wszystkich interfejsów – również dla pakietów 64-bajtowych (przełącznik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line-rate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>)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6.2.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Bufor pakietów – 6MB 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6.3.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Pamięć DRAM – 2GB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6.4.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Pamięć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flash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– 4GB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6.5.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Obsługa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6.5.1.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1024 sieci VLAN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6.5.2.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16.000 adresów MAC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6.5.3.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3.000 tras IPv4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6.5.4.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1.500 tras IPv6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7.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Obsługa protokołu NTP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8.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Obsługa IGMPv1/2/3 i MLDv1/2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Snooping</w:t>
            </w:r>
            <w:proofErr w:type="spellEnd"/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9.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Przełącznik wspiera następujące mechanizmy związane z zapewnieniem ciągłości pracy sieci: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9.1.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IEEE 802.1w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Rapid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Spanning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Tree</w:t>
            </w:r>
            <w:proofErr w:type="spellEnd"/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9.2.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Per-VLAN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Rapid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Spanning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Tree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(PVRST+)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9.3.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IEEE 802.1s Multi-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Instance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Spanning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Tree</w:t>
            </w:r>
            <w:proofErr w:type="spellEnd"/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9.4.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Obsługa 64 instancji protokołu STP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10.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Obsługa protokołu LLDP i LLDP-MED.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11.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Funkcjonalność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Layer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2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traceroute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umożliwiająca śledzenie fizycznej trasy pakietu o zadanym źródłowym i docelowym adresie MAC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12.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Obsługa funkcji Voice VLAN umożliwiającej odseparowanie ruchu danych i ruchu głosowego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13.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Możliwość uruchomienia funkcji serwera DHCP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14.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Mechanizmy związane z bezpieczeństwem sieci: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14.1.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Wiele poziomów dostępu administracyjnego poprzez konsolę. Przełącznik umożliwia zalogowanie się administratora z konkretnym poziomem dostępu zgodnie z odpowiedzą serwera autoryzacji (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privilege-level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>)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14.2.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Autoryzacja użytkowników w oparciu o IEEE 802.1X z możliwością dynamicznego przypisania użytkownika do określonej sieci VLAN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14.3.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Autoryzacja użytkowników w oparciu o IEEE 802.1X z możliwością dynamicznego przypisania listy ACL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14.4.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Obsługa funkcji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Guest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VLAN umożliwiająca uzyskanie gościnnego dostępu do sieci dla użytkowników bez suplikanta 802.1X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14.5.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Możliwość uwierzytelniania urządzeń na porcie w oparciu o adres MAC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14.6.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Możliwość uwierzytelniania użytkowników w oparciu o portal www dla klientów bez suplikanta 802.1X 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14.7.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Możliwość uwierzytelniania wielu użytkowników na jednym porcie oraz możliwość jednoczesnego uwierzytelniania na porcie telefonu IP i komputera PC podłączonego za telefonem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14.8.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Możliwość obsługi żądań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Change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of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Authorization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(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CoA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>) zgodnie z RFC 5176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14.9.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1500 wpisów dla list kontroli dostępu (Security ACE)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14.10.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Funkcjonalność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flexible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authentication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(możliwość wyboru kolejności uwierzytelniania – 802.1X/uwierzytelnianie w oparciu o MAC adres/uwierzytelnianie  oparciu o portal www)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lastRenderedPageBreak/>
              <w:t>14.11.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Obsługa funkcji Port Security, DHCP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Snooping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,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Dynamic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ARP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Inspection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i IP Source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Guard</w:t>
            </w:r>
            <w:proofErr w:type="spellEnd"/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14.12.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Zapewnienie podstawowych mechanizmów bezpieczeństwa IPv6 na brzegu sieci (IPv6 FHS) – w tym minimum ochronę przed rozgłaszaniem fałszywych komunikatów Router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Advertisement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(RA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Guard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) i ochronę przed dołączeniem nieuprawnionych serwerów DHCPv6 do sieci (DHCPv6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Guard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>)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14.13.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Możliwość autoryzacji prób logowania do urządzenia (dostęp administracyjny) do serwerów RADIUS i TACACS+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14.14.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Obsługa list kontroli dostępu (ACL), możliwość konfiguracji tzw. czasowych list ACL (aktywnych w określonych godzinach i dniach tygodnia)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14.15.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Możliwość szyfrowania ruchu zgodnie z IEEE 802.1AE (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MACSec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) dla wszystkich portów przełącznika (dla połączeń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switch-switch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oraz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switch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>-host)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14.16.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Wbudowane mechanizmy ochrony warstwy kontrolnej przełącznika (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CoPP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– Control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Plane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Policing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>)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14.17.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Funkcja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Private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VLAN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color w:val="343537"/>
                <w:sz w:val="20"/>
                <w:szCs w:val="20"/>
              </w:rPr>
              <w:t>15.</w:t>
            </w:r>
            <w:r w:rsidRPr="00082019">
              <w:rPr>
                <w:rFonts w:ascii="Lato" w:eastAsia="Calibri" w:hAnsi="Lato"/>
                <w:color w:val="343537"/>
                <w:sz w:val="20"/>
                <w:szCs w:val="20"/>
              </w:rPr>
              <w:tab/>
              <w:t xml:space="preserve">Technologie umożliwiające zapewnienie autentyczności sprzętu i oprogramowania 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2F79AC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color w:val="343537"/>
                <w:sz w:val="20"/>
                <w:szCs w:val="20"/>
              </w:rPr>
              <w:t>15</w:t>
            </w:r>
            <w:r w:rsidR="00B21D4F" w:rsidRPr="00082019">
              <w:rPr>
                <w:rFonts w:ascii="Lato" w:eastAsia="Calibri" w:hAnsi="Lato"/>
                <w:color w:val="343537"/>
                <w:sz w:val="20"/>
                <w:szCs w:val="20"/>
              </w:rPr>
              <w:t>.1</w:t>
            </w:r>
            <w:r w:rsidR="00B21D4F" w:rsidRPr="00082019">
              <w:rPr>
                <w:rFonts w:ascii="Lato" w:eastAsia="Calibri" w:hAnsi="Lato"/>
                <w:color w:val="343537"/>
                <w:sz w:val="20"/>
                <w:szCs w:val="20"/>
              </w:rPr>
              <w:tab/>
              <w:t xml:space="preserve"> Trust </w:t>
            </w:r>
            <w:proofErr w:type="spellStart"/>
            <w:r w:rsidR="00B21D4F" w:rsidRPr="00082019">
              <w:rPr>
                <w:rFonts w:ascii="Lato" w:eastAsia="Calibri" w:hAnsi="Lato"/>
                <w:color w:val="343537"/>
                <w:sz w:val="20"/>
                <w:szCs w:val="20"/>
              </w:rPr>
              <w:t>Anchor</w:t>
            </w:r>
            <w:proofErr w:type="spellEnd"/>
            <w:r w:rsidR="00B21D4F" w:rsidRPr="00082019">
              <w:rPr>
                <w:rFonts w:ascii="Lato" w:eastAsia="Calibri" w:hAnsi="Lato"/>
                <w:color w:val="343537"/>
                <w:sz w:val="20"/>
                <w:szCs w:val="20"/>
              </w:rPr>
              <w:t xml:space="preserve"> Module - odporne na manipulacje, zabezpieczone kryptograficzne, jednoukładowe rozwiązanie zapewniające autentyczność sprzętu w celu jednoznacznej identyfikacji produktu – daje pewność, że produkt jest oryginalny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2F79AC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color w:val="343537"/>
                <w:sz w:val="20"/>
                <w:szCs w:val="20"/>
              </w:rPr>
              <w:t>15</w:t>
            </w:r>
            <w:r w:rsidR="00B21D4F" w:rsidRPr="00082019">
              <w:rPr>
                <w:rFonts w:ascii="Lato" w:eastAsia="Calibri" w:hAnsi="Lato"/>
                <w:color w:val="343537"/>
                <w:sz w:val="20"/>
                <w:szCs w:val="20"/>
              </w:rPr>
              <w:t>.2</w:t>
            </w:r>
            <w:r w:rsidR="00B21D4F" w:rsidRPr="00082019">
              <w:rPr>
                <w:rFonts w:ascii="Lato" w:eastAsia="Calibri" w:hAnsi="Lato"/>
                <w:color w:val="343537"/>
                <w:sz w:val="20"/>
                <w:szCs w:val="20"/>
              </w:rPr>
              <w:tab/>
              <w:t xml:space="preserve"> </w:t>
            </w:r>
            <w:proofErr w:type="spellStart"/>
            <w:r w:rsidR="00B21D4F" w:rsidRPr="00082019">
              <w:rPr>
                <w:rFonts w:ascii="Lato" w:eastAsia="Calibri" w:hAnsi="Lato"/>
                <w:color w:val="343537"/>
                <w:sz w:val="20"/>
                <w:szCs w:val="20"/>
              </w:rPr>
              <w:t>Secure</w:t>
            </w:r>
            <w:proofErr w:type="spellEnd"/>
            <w:r w:rsidR="00B21D4F" w:rsidRPr="00082019">
              <w:rPr>
                <w:rFonts w:ascii="Lato" w:eastAsia="Calibri" w:hAnsi="Lato"/>
                <w:color w:val="343537"/>
                <w:sz w:val="20"/>
                <w:szCs w:val="20"/>
              </w:rPr>
              <w:t xml:space="preserve"> </w:t>
            </w:r>
            <w:proofErr w:type="spellStart"/>
            <w:r w:rsidR="00B21D4F" w:rsidRPr="00082019">
              <w:rPr>
                <w:rFonts w:ascii="Lato" w:eastAsia="Calibri" w:hAnsi="Lato"/>
                <w:color w:val="343537"/>
                <w:sz w:val="20"/>
                <w:szCs w:val="20"/>
              </w:rPr>
              <w:t>Boot</w:t>
            </w:r>
            <w:proofErr w:type="spellEnd"/>
            <w:r w:rsidR="00B21D4F" w:rsidRPr="00082019">
              <w:rPr>
                <w:rFonts w:ascii="Lato" w:eastAsia="Calibri" w:hAnsi="Lato"/>
                <w:color w:val="343537"/>
                <w:sz w:val="20"/>
                <w:szCs w:val="20"/>
              </w:rPr>
              <w:t xml:space="preserve"> – zabezpiecza proces sekwencji startowej zapewniając, że mamy niezmieniony sprzęt oraz zapewniając warstwową ochronę przed próbą załadowania nielegalnego/zmodyfikowanego oprogramowania systemowego 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2F79AC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color w:val="343537"/>
                <w:sz w:val="20"/>
                <w:szCs w:val="20"/>
              </w:rPr>
              <w:t>15</w:t>
            </w:r>
            <w:r w:rsidR="00B21D4F" w:rsidRPr="00082019">
              <w:rPr>
                <w:rFonts w:ascii="Lato" w:eastAsia="Calibri" w:hAnsi="Lato"/>
                <w:color w:val="343537"/>
                <w:sz w:val="20"/>
                <w:szCs w:val="20"/>
              </w:rPr>
              <w:t>.3</w:t>
            </w:r>
            <w:r w:rsidR="00B21D4F" w:rsidRPr="00082019">
              <w:rPr>
                <w:rFonts w:ascii="Lato" w:eastAsia="Calibri" w:hAnsi="Lato"/>
                <w:color w:val="343537"/>
                <w:sz w:val="20"/>
                <w:szCs w:val="20"/>
              </w:rPr>
              <w:tab/>
              <w:t xml:space="preserve">.Image </w:t>
            </w:r>
            <w:proofErr w:type="spellStart"/>
            <w:r w:rsidR="00B21D4F" w:rsidRPr="00082019">
              <w:rPr>
                <w:rFonts w:ascii="Lato" w:eastAsia="Calibri" w:hAnsi="Lato"/>
                <w:color w:val="343537"/>
                <w:sz w:val="20"/>
                <w:szCs w:val="20"/>
              </w:rPr>
              <w:t>signing</w:t>
            </w:r>
            <w:proofErr w:type="spellEnd"/>
            <w:r w:rsidR="00B21D4F" w:rsidRPr="00082019">
              <w:rPr>
                <w:rFonts w:ascii="Lato" w:eastAsia="Calibri" w:hAnsi="Lato"/>
                <w:color w:val="343537"/>
                <w:sz w:val="20"/>
                <w:szCs w:val="20"/>
              </w:rPr>
              <w:t xml:space="preserve"> - obrazy podpisane kryptograficznie zapewniają, że oprogramowanie systemowe (</w:t>
            </w:r>
            <w:proofErr w:type="spellStart"/>
            <w:r w:rsidR="00B21D4F" w:rsidRPr="00082019">
              <w:rPr>
                <w:rFonts w:ascii="Lato" w:eastAsia="Calibri" w:hAnsi="Lato"/>
                <w:color w:val="343537"/>
                <w:sz w:val="20"/>
                <w:szCs w:val="20"/>
              </w:rPr>
              <w:t>firmware</w:t>
            </w:r>
            <w:proofErr w:type="spellEnd"/>
            <w:r w:rsidR="00B21D4F" w:rsidRPr="00082019">
              <w:rPr>
                <w:rFonts w:ascii="Lato" w:eastAsia="Calibri" w:hAnsi="Lato"/>
                <w:color w:val="343537"/>
                <w:sz w:val="20"/>
                <w:szCs w:val="20"/>
              </w:rPr>
              <w:t>), BIOS i inne oprogramowanie są autentyczne i niezmodyfikowane. Podczas uruchamiania systemu sygnatury oprogramowania są sprawdzane pod kątem integralności.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16.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Mechanizmy związane z zapewnieniem jakości usług w sieci: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16.1.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Implementacja 8 kolejek dla ruchu wyjściowego na każdym porcie dla obsługi ruchu o różnej klasie obsługi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16.2.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Implementacja algorytmu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Shaped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Round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Robin dla obsługi kolejek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16.3.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Możliwość obsługi jednej z powyżej wspomnianych kolejek z bezwzględnym priorytetem w stosunku do innych (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Strict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Priority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>)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16.4.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Klasyfikacja ruchu do klas różnej jakości obsługi (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QoS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>) poprzez wykorzystanie następujących parametrów: źródłowy/docelowy adres MAC, źródłowy/docelowy adres IP, źródłowy/docelowy port TCP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16.5.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Możliwość ograniczania pasma dostępnego na danym porcie dla ruchu o danej klasie obsługi z dokładnością do 8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Kbps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(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policing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,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rate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limiting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) 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16.6.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Kontrola sztormów dla ruchu broadcast/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multicast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>/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unicast</w:t>
            </w:r>
            <w:proofErr w:type="spellEnd"/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16.7.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Możliwość zmiany przez urządzenie kodu wartości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QoS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zawartego w ramce Ethernet lub pakiecie IP – poprzez zmianę pola 802.1p (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CoS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) oraz IP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ToS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>/DSCP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17.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Obsługa protokołów routingu: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17.1.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Routing statyczny dla IPv4 i IPv6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17.2.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Routing dynamiczny – RIP, OSPF (do 1000 tras)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17.3.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Policy-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based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routing (PBR)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17.4.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Obsługa protokołu redundancji bramy (VRRP)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18.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Przełącznik umożliwia lokalną i zdalną obserwację ruchu na określonym porcie, polegającą na kopiowaniu pojawiających się na nim ramek i </w:t>
            </w:r>
            <w:r w:rsidRPr="00082019">
              <w:rPr>
                <w:rFonts w:ascii="Lato" w:eastAsia="Calibri" w:hAnsi="Lato"/>
                <w:sz w:val="20"/>
                <w:szCs w:val="20"/>
              </w:rPr>
              <w:lastRenderedPageBreak/>
              <w:t>przesyłaniu ich do zdalnego urządzenia monitorującego – mechanizmy SPAN, RSPAN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lastRenderedPageBreak/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19.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Przełącznik posiada wzorce konfiguracji portów zawierające prekonfigurowane ustawienia rekomendowane zależnie od typu urządzenia dołączonego do portu (np. telefon IP, kamera itp.)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20.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Możliwość  uruchamiania skryptów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Python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poprzez Embedded Event Manager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21.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Zarządzanie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21.1.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Port konsoli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21.2.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Dedykowany port Ethernet do zarządzania out-of-band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21.3.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Plik konfiguracyjny urządzenia możliwy do edycji w trybie off-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line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(możliwość przeglądania i zmian konfiguracji w pliku tekstowym na dowolnym urządzeniu PC). Po zapisaniu konfiguracji w pamięci nieulotnej możliwość uruchomienia urządzenia z nową konfiguracją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21.4.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Obsługa protokołów SNMPv3, SSHv2, SCP,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https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,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syslog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– z wykorzystaniem protokołów IPv4 i IPv6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21.5.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Możliwość konfiguracji za pomocą protokołu NETCONF (RFC 6241) i modelowania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YANGa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(RFC 6020) oraz eksportowania zdefiniowanych według potrzeb danych do zewnętrznych systemów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21.6.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Przełącznik posiada diodę umożliwiającą identyfikację konkretnego urządzenia podczas akcji serwisowych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21.7.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Przełącznik posiada wbudowany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tag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RFID w celu łatwiejszego zarządzania infrastrukturą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21.8.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>Port USB umożliwiający podłączenie zewnętrznego nośnika danych. Urządzenie ma możliwość uruchomienia z nośnika danych umieszczonego w porcie USB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22.</w:t>
            </w:r>
            <w:r w:rsidRPr="00082019">
              <w:rPr>
                <w:rFonts w:ascii="Lato" w:eastAsia="Calibri" w:hAnsi="Lato"/>
                <w:sz w:val="20"/>
                <w:szCs w:val="20"/>
              </w:rPr>
              <w:tab/>
              <w:t xml:space="preserve">Możliwość montażu w szafie </w:t>
            </w:r>
            <w:proofErr w:type="spellStart"/>
            <w:r w:rsidRPr="00082019">
              <w:rPr>
                <w:rFonts w:ascii="Lato" w:eastAsia="Calibri" w:hAnsi="Lato"/>
                <w:sz w:val="20"/>
                <w:szCs w:val="20"/>
              </w:rPr>
              <w:t>rack</w:t>
            </w:r>
            <w:proofErr w:type="spellEnd"/>
            <w:r w:rsidRPr="00082019">
              <w:rPr>
                <w:rFonts w:ascii="Lato" w:eastAsia="Calibri" w:hAnsi="Lato"/>
                <w:sz w:val="20"/>
                <w:szCs w:val="20"/>
              </w:rPr>
              <w:t xml:space="preserve"> 19”. Wysokość urządzenia 1 RU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16578E" w:rsidP="00B21D4F">
            <w:pPr>
              <w:numPr>
                <w:ilvl w:val="0"/>
                <w:numId w:val="19"/>
              </w:numPr>
              <w:spacing w:after="200" w:line="276" w:lineRule="auto"/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P</w:t>
            </w:r>
            <w:r w:rsidR="00B21D4F" w:rsidRPr="00082019">
              <w:rPr>
                <w:rFonts w:ascii="Lato" w:eastAsia="Calibri" w:hAnsi="Lato"/>
                <w:sz w:val="20"/>
                <w:szCs w:val="20"/>
              </w:rPr>
              <w:t xml:space="preserve">róbkowania i eksportu statystyk ruchu do zewnętrznych kolektorów danych (bez </w:t>
            </w:r>
            <w:proofErr w:type="spellStart"/>
            <w:r w:rsidR="00B21D4F" w:rsidRPr="00082019">
              <w:rPr>
                <w:rFonts w:ascii="Lato" w:eastAsia="Calibri" w:hAnsi="Lato"/>
                <w:sz w:val="20"/>
                <w:szCs w:val="20"/>
              </w:rPr>
              <w:t>samplowania</w:t>
            </w:r>
            <w:proofErr w:type="spellEnd"/>
            <w:r w:rsidR="00B21D4F" w:rsidRPr="00082019">
              <w:rPr>
                <w:rFonts w:ascii="Lato" w:eastAsia="Calibri" w:hAnsi="Lato"/>
                <w:sz w:val="20"/>
                <w:szCs w:val="20"/>
              </w:rPr>
              <w:t xml:space="preserve">) ze wsparciem sprzętowym - </w:t>
            </w:r>
            <w:proofErr w:type="spellStart"/>
            <w:r w:rsidR="00B21D4F" w:rsidRPr="00082019">
              <w:rPr>
                <w:rFonts w:ascii="Lato" w:eastAsia="Calibri" w:hAnsi="Lato"/>
                <w:sz w:val="20"/>
                <w:szCs w:val="20"/>
              </w:rPr>
              <w:t>NetFlow</w:t>
            </w:r>
            <w:proofErr w:type="spellEnd"/>
            <w:r w:rsidR="00B21D4F" w:rsidRPr="00082019">
              <w:rPr>
                <w:rFonts w:ascii="Lato" w:eastAsia="Calibri" w:hAnsi="Lato"/>
                <w:sz w:val="20"/>
                <w:szCs w:val="20"/>
              </w:rPr>
              <w:t xml:space="preserve"> – obsługa 16.000 strumieni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numPr>
                <w:ilvl w:val="0"/>
                <w:numId w:val="19"/>
              </w:numPr>
              <w:spacing w:after="200" w:line="276" w:lineRule="auto"/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Wbudowany analizator pakietów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numPr>
                <w:ilvl w:val="0"/>
                <w:numId w:val="19"/>
              </w:numPr>
              <w:spacing w:after="200" w:line="276" w:lineRule="auto"/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Możliwość tworzenia skryptów celem obsługi zdarzeń, które mogą pojawić się w systemie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B21D4F" w:rsidRPr="00082019" w:rsidTr="00B21D4F">
        <w:tc>
          <w:tcPr>
            <w:tcW w:w="7148" w:type="dxa"/>
          </w:tcPr>
          <w:p w:rsidR="00B21D4F" w:rsidRPr="00082019" w:rsidRDefault="00B21D4F" w:rsidP="00B21D4F">
            <w:pPr>
              <w:numPr>
                <w:ilvl w:val="0"/>
                <w:numId w:val="19"/>
              </w:numPr>
              <w:spacing w:after="200" w:line="276" w:lineRule="auto"/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>Gwarancja – przełącznik musi być objęty gwarancją producenta na okres co najmniej 3 lat. Tryb realizacji gwarancji musi wynosić co najmniej 8x5 NBD</w:t>
            </w:r>
          </w:p>
        </w:tc>
        <w:tc>
          <w:tcPr>
            <w:tcW w:w="1985" w:type="dxa"/>
            <w:gridSpan w:val="2"/>
          </w:tcPr>
          <w:p w:rsidR="00B21D4F" w:rsidRPr="00082019" w:rsidRDefault="00B21D4F" w:rsidP="00B21D4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 / Nie</w:t>
            </w:r>
          </w:p>
        </w:tc>
      </w:tr>
      <w:tr w:rsidR="0047058C" w:rsidRPr="00082019" w:rsidTr="00B21D4F">
        <w:tc>
          <w:tcPr>
            <w:tcW w:w="7148" w:type="dxa"/>
          </w:tcPr>
          <w:p w:rsidR="0047058C" w:rsidRPr="00082019" w:rsidRDefault="0047058C" w:rsidP="0047058C">
            <w:pPr>
              <w:pStyle w:val="Akapitzlist"/>
              <w:numPr>
                <w:ilvl w:val="0"/>
                <w:numId w:val="19"/>
              </w:numPr>
              <w:rPr>
                <w:rFonts w:ascii="Lato" w:eastAsia="Calibri" w:hAnsi="Lato"/>
                <w:sz w:val="20"/>
                <w:szCs w:val="20"/>
              </w:rPr>
            </w:pPr>
            <w:r w:rsidRPr="00082019">
              <w:rPr>
                <w:rFonts w:ascii="Lato" w:eastAsia="Calibri" w:hAnsi="Lato"/>
                <w:sz w:val="20"/>
                <w:szCs w:val="20"/>
              </w:rPr>
              <w:t xml:space="preserve"> kompatybilne moduły optyczne  z C9200L-48T-4X-E</w:t>
            </w:r>
          </w:p>
          <w:p w:rsidR="0047058C" w:rsidRPr="00082019" w:rsidRDefault="0047058C" w:rsidP="0047058C">
            <w:pPr>
              <w:spacing w:after="200" w:line="276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47058C" w:rsidRPr="00082019" w:rsidRDefault="0047058C" w:rsidP="00B21D4F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Tak/Nie</w:t>
            </w:r>
          </w:p>
        </w:tc>
      </w:tr>
      <w:tr w:rsidR="0047058C" w:rsidRPr="00082019" w:rsidTr="00B21D4F">
        <w:tc>
          <w:tcPr>
            <w:tcW w:w="7148" w:type="dxa"/>
          </w:tcPr>
          <w:p w:rsidR="0047058C" w:rsidRPr="00082019" w:rsidRDefault="0047058C" w:rsidP="0047058C">
            <w:pPr>
              <w:pStyle w:val="Akapitzlist"/>
              <w:numPr>
                <w:ilvl w:val="0"/>
                <w:numId w:val="19"/>
              </w:numPr>
              <w:rPr>
                <w:rFonts w:ascii="Lato" w:eastAsia="Calibri" w:hAnsi="Lato"/>
                <w:sz w:val="20"/>
                <w:szCs w:val="20"/>
              </w:rPr>
            </w:pPr>
            <w:proofErr w:type="spellStart"/>
            <w:r w:rsidRPr="00082019">
              <w:rPr>
                <w:rFonts w:ascii="Lato" w:hAnsi="Lato"/>
                <w:sz w:val="20"/>
                <w:szCs w:val="20"/>
              </w:rPr>
              <w:t>patchcord</w:t>
            </w:r>
            <w:proofErr w:type="spellEnd"/>
            <w:r w:rsidRPr="00082019">
              <w:rPr>
                <w:rFonts w:ascii="Lato" w:hAnsi="Lato"/>
                <w:sz w:val="20"/>
                <w:szCs w:val="20"/>
              </w:rPr>
              <w:t xml:space="preserve"> światłowodowy, LC/PC-LC/PC, OM4 MM 50/125 3m </w:t>
            </w:r>
            <w:proofErr w:type="spellStart"/>
            <w:r w:rsidRPr="00082019">
              <w:rPr>
                <w:rFonts w:ascii="Lato" w:hAnsi="Lato"/>
                <w:sz w:val="20"/>
                <w:szCs w:val="20"/>
              </w:rPr>
              <w:t>szt</w:t>
            </w:r>
            <w:proofErr w:type="spellEnd"/>
            <w:r w:rsidRPr="00082019">
              <w:rPr>
                <w:rFonts w:ascii="Lato" w:hAnsi="Lato"/>
                <w:sz w:val="20"/>
                <w:szCs w:val="20"/>
              </w:rPr>
              <w:t xml:space="preserve"> ;</w:t>
            </w:r>
          </w:p>
        </w:tc>
        <w:tc>
          <w:tcPr>
            <w:tcW w:w="1985" w:type="dxa"/>
            <w:gridSpan w:val="2"/>
          </w:tcPr>
          <w:p w:rsidR="0047058C" w:rsidRPr="00082019" w:rsidRDefault="0047058C" w:rsidP="00B21D4F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Tak/Nie</w:t>
            </w:r>
          </w:p>
        </w:tc>
      </w:tr>
      <w:tr w:rsidR="0047058C" w:rsidRPr="00082019" w:rsidTr="00B21D4F">
        <w:tc>
          <w:tcPr>
            <w:tcW w:w="7148" w:type="dxa"/>
          </w:tcPr>
          <w:p w:rsidR="0047058C" w:rsidRPr="00082019" w:rsidRDefault="0047058C" w:rsidP="0047058C">
            <w:pPr>
              <w:pStyle w:val="Akapitzlist"/>
              <w:numPr>
                <w:ilvl w:val="0"/>
                <w:numId w:val="19"/>
              </w:numPr>
              <w:rPr>
                <w:rFonts w:ascii="Lato" w:eastAsia="Calibri" w:hAnsi="Lato"/>
                <w:sz w:val="20"/>
                <w:szCs w:val="20"/>
              </w:rPr>
            </w:pPr>
            <w:proofErr w:type="spellStart"/>
            <w:r w:rsidRPr="00082019">
              <w:rPr>
                <w:rFonts w:ascii="Lato" w:hAnsi="Lato"/>
                <w:sz w:val="20"/>
                <w:szCs w:val="20"/>
              </w:rPr>
              <w:t>patchcord</w:t>
            </w:r>
            <w:proofErr w:type="spellEnd"/>
            <w:r w:rsidRPr="00082019">
              <w:rPr>
                <w:rFonts w:ascii="Lato" w:hAnsi="Lato"/>
                <w:sz w:val="20"/>
                <w:szCs w:val="20"/>
              </w:rPr>
              <w:t xml:space="preserve"> światłowodowy, LC/PC-LC/PC, OM4 MM 50/125 2m </w:t>
            </w:r>
            <w:proofErr w:type="spellStart"/>
            <w:r w:rsidRPr="00082019">
              <w:rPr>
                <w:rFonts w:ascii="Lato" w:hAnsi="Lato"/>
                <w:sz w:val="20"/>
                <w:szCs w:val="20"/>
              </w:rPr>
              <w:t>szt</w:t>
            </w:r>
            <w:proofErr w:type="spellEnd"/>
            <w:r w:rsidRPr="00082019">
              <w:rPr>
                <w:rFonts w:ascii="Lato" w:hAnsi="Lato"/>
                <w:sz w:val="20"/>
                <w:szCs w:val="20"/>
              </w:rPr>
              <w:t xml:space="preserve"> ;</w:t>
            </w:r>
          </w:p>
        </w:tc>
        <w:tc>
          <w:tcPr>
            <w:tcW w:w="1985" w:type="dxa"/>
            <w:gridSpan w:val="2"/>
          </w:tcPr>
          <w:p w:rsidR="0047058C" w:rsidRPr="00082019" w:rsidRDefault="00555F4D" w:rsidP="0047058C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082019">
              <w:rPr>
                <w:rFonts w:ascii="Lato" w:hAnsi="Lato" w:cs="Arial"/>
                <w:sz w:val="20"/>
                <w:szCs w:val="20"/>
              </w:rPr>
              <w:t>Tak/Nie</w:t>
            </w:r>
          </w:p>
        </w:tc>
      </w:tr>
      <w:tr w:rsidR="00555F4D" w:rsidRPr="00082019" w:rsidTr="00B21D4F">
        <w:tc>
          <w:tcPr>
            <w:tcW w:w="7148" w:type="dxa"/>
          </w:tcPr>
          <w:p w:rsidR="00555F4D" w:rsidRPr="00082019" w:rsidRDefault="00555F4D" w:rsidP="0047058C">
            <w:pPr>
              <w:pStyle w:val="Akapitzlist"/>
              <w:numPr>
                <w:ilvl w:val="0"/>
                <w:numId w:val="19"/>
              </w:numPr>
              <w:rPr>
                <w:rFonts w:ascii="Lato" w:hAnsi="Lato"/>
                <w:sz w:val="20"/>
                <w:szCs w:val="20"/>
              </w:rPr>
            </w:pPr>
            <w:r w:rsidRPr="00082019">
              <w:rPr>
                <w:rFonts w:ascii="Lato" w:hAnsi="Lato"/>
                <w:sz w:val="20"/>
                <w:szCs w:val="20"/>
              </w:rPr>
              <w:t>organizator kabli poziomy 19" 1U, metalowy, 5 uchwytów</w:t>
            </w:r>
          </w:p>
        </w:tc>
        <w:tc>
          <w:tcPr>
            <w:tcW w:w="1985" w:type="dxa"/>
            <w:gridSpan w:val="2"/>
          </w:tcPr>
          <w:p w:rsidR="00555F4D" w:rsidRPr="00082019" w:rsidRDefault="00082019" w:rsidP="0047058C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Tak/Nie</w:t>
            </w:r>
          </w:p>
        </w:tc>
      </w:tr>
      <w:tr w:rsidR="00321CAE" w:rsidRPr="00082019" w:rsidTr="00B21D4F">
        <w:tc>
          <w:tcPr>
            <w:tcW w:w="7148" w:type="dxa"/>
          </w:tcPr>
          <w:p w:rsidR="00321CAE" w:rsidRPr="00082019" w:rsidRDefault="00321CAE" w:rsidP="0047058C">
            <w:pPr>
              <w:pStyle w:val="Akapitzlist"/>
              <w:numPr>
                <w:ilvl w:val="0"/>
                <w:numId w:val="19"/>
              </w:num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m</w:t>
            </w:r>
            <w:r w:rsidRPr="00321CAE">
              <w:rPr>
                <w:rFonts w:ascii="Lato" w:hAnsi="Lato"/>
                <w:sz w:val="20"/>
                <w:szCs w:val="20"/>
              </w:rPr>
              <w:t xml:space="preserve">odel urządzenia musi dawać możliwość </w:t>
            </w:r>
            <w:proofErr w:type="spellStart"/>
            <w:r w:rsidRPr="00321CAE">
              <w:rPr>
                <w:rFonts w:ascii="Lato" w:hAnsi="Lato"/>
                <w:sz w:val="20"/>
                <w:szCs w:val="20"/>
              </w:rPr>
              <w:t>stackowania</w:t>
            </w:r>
            <w:proofErr w:type="spellEnd"/>
            <w:r w:rsidRPr="00321CAE">
              <w:rPr>
                <w:rFonts w:ascii="Lato" w:hAnsi="Lato"/>
                <w:sz w:val="20"/>
                <w:szCs w:val="20"/>
              </w:rPr>
              <w:t xml:space="preserve"> z urządzeniami posiadanymi przez Zamawiającego. Model posiadany przez Zamawiającego C9200L-48T-4X-E</w:t>
            </w:r>
          </w:p>
        </w:tc>
        <w:tc>
          <w:tcPr>
            <w:tcW w:w="1985" w:type="dxa"/>
            <w:gridSpan w:val="2"/>
          </w:tcPr>
          <w:p w:rsidR="00321CAE" w:rsidRDefault="00321CAE" w:rsidP="0047058C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Tak/Nie</w:t>
            </w:r>
          </w:p>
        </w:tc>
      </w:tr>
    </w:tbl>
    <w:p w:rsidR="00B21D4F" w:rsidRPr="00082019" w:rsidRDefault="00B21D4F" w:rsidP="007D2AEB">
      <w:pPr>
        <w:jc w:val="both"/>
        <w:rPr>
          <w:rFonts w:ascii="Lato" w:hAnsi="Lato" w:cs="Arial"/>
          <w:sz w:val="20"/>
          <w:szCs w:val="20"/>
        </w:rPr>
      </w:pPr>
    </w:p>
    <w:p w:rsidR="00B21D4F" w:rsidRPr="00082019" w:rsidRDefault="00B21D4F" w:rsidP="007D2AEB">
      <w:pPr>
        <w:jc w:val="both"/>
        <w:rPr>
          <w:rFonts w:ascii="Lato" w:hAnsi="Lato" w:cs="Arial"/>
          <w:sz w:val="20"/>
          <w:szCs w:val="20"/>
        </w:rPr>
      </w:pPr>
    </w:p>
    <w:p w:rsidR="007D2AEB" w:rsidRPr="00082019" w:rsidRDefault="007D2AEB" w:rsidP="007D2AEB">
      <w:pPr>
        <w:spacing w:line="276" w:lineRule="auto"/>
        <w:jc w:val="center"/>
        <w:rPr>
          <w:rFonts w:ascii="Lato" w:hAnsi="Lato" w:cs="Arial"/>
          <w:b/>
          <w:bCs/>
          <w:i/>
          <w:sz w:val="20"/>
          <w:szCs w:val="20"/>
        </w:rPr>
      </w:pPr>
      <w:r w:rsidRPr="00082019">
        <w:rPr>
          <w:rFonts w:ascii="Lato" w:hAnsi="Lato" w:cs="Arial"/>
          <w:b/>
          <w:bCs/>
          <w:i/>
          <w:sz w:val="20"/>
          <w:szCs w:val="20"/>
        </w:rPr>
        <w:lastRenderedPageBreak/>
        <w:t>Uwaga!</w:t>
      </w:r>
    </w:p>
    <w:p w:rsidR="00113F5B" w:rsidRPr="00082019" w:rsidRDefault="007D2AEB" w:rsidP="000550ED">
      <w:pPr>
        <w:jc w:val="center"/>
        <w:rPr>
          <w:rFonts w:ascii="Lato" w:hAnsi="Lato" w:cs="Arial"/>
          <w:sz w:val="20"/>
          <w:szCs w:val="20"/>
        </w:rPr>
      </w:pPr>
      <w:r w:rsidRPr="00082019">
        <w:rPr>
          <w:rFonts w:ascii="Lato" w:hAnsi="Lato" w:cs="Arial"/>
          <w:b/>
          <w:bCs/>
          <w:i/>
          <w:sz w:val="20"/>
          <w:szCs w:val="20"/>
        </w:rPr>
        <w:t>Formularz po wypełnieniu należy podpisać kwalifikowanym podpisem elektronicznym przez osoby upoważnione do reprezentowania wykonawcy/wykonawców występujących wspólnie i złożyć zgodnie z wymaganiami SWZ. Zamawiający zaleca zapisanie dokumentu w formacie PDF</w:t>
      </w:r>
    </w:p>
    <w:sectPr w:rsidR="00113F5B" w:rsidRPr="000820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4D" w:rsidRDefault="00B0004D" w:rsidP="005E13DA">
      <w:pPr>
        <w:spacing w:after="0" w:line="240" w:lineRule="auto"/>
      </w:pPr>
      <w:r>
        <w:separator/>
      </w:r>
    </w:p>
  </w:endnote>
  <w:endnote w:type="continuationSeparator" w:id="0">
    <w:p w:rsidR="00B0004D" w:rsidRDefault="00B0004D" w:rsidP="005E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CAE" w:rsidRDefault="00321C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CAE" w:rsidRDefault="00321C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CAE" w:rsidRDefault="00321C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4D" w:rsidRDefault="00B0004D" w:rsidP="005E13DA">
      <w:pPr>
        <w:spacing w:after="0" w:line="240" w:lineRule="auto"/>
      </w:pPr>
      <w:r>
        <w:separator/>
      </w:r>
    </w:p>
  </w:footnote>
  <w:footnote w:type="continuationSeparator" w:id="0">
    <w:p w:rsidR="00B0004D" w:rsidRDefault="00B0004D" w:rsidP="005E1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CAE" w:rsidRDefault="00321C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CAE" w:rsidRDefault="00321CAE" w:rsidP="005E13DA">
    <w:pPr>
      <w:rPr>
        <w:rFonts w:ascii="Arial" w:hAnsi="Arial" w:cs="Arial"/>
        <w:b/>
        <w:bCs/>
        <w:sz w:val="20"/>
        <w:szCs w:val="20"/>
        <w:lang w:val="de-DE"/>
      </w:rPr>
    </w:pPr>
  </w:p>
  <w:p w:rsidR="00321CAE" w:rsidRDefault="007972AB" w:rsidP="005E13DA">
    <w:pPr>
      <w:rPr>
        <w:rFonts w:ascii="Arial" w:hAnsi="Arial" w:cs="Arial"/>
        <w:b/>
        <w:bCs/>
        <w:sz w:val="20"/>
        <w:szCs w:val="20"/>
        <w:lang w:val="de-DE"/>
      </w:rPr>
    </w:pPr>
    <w:r w:rsidRPr="007972AB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3EC87398" wp14:editId="2B076BBB">
          <wp:extent cx="5760720" cy="48027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2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21D4F" w:rsidRPr="00B21D4F" w:rsidRDefault="00B0004D" w:rsidP="005E13DA">
    <w:pPr>
      <w:rPr>
        <w:rFonts w:ascii="Arial" w:hAnsi="Arial" w:cs="Arial"/>
        <w:b/>
        <w:bCs/>
        <w:lang w:val="de-DE"/>
      </w:rPr>
    </w:pPr>
    <w:r w:rsidRPr="00507254">
      <w:rPr>
        <w:rFonts w:ascii="Arial" w:hAnsi="Arial" w:cs="Arial"/>
        <w:b/>
        <w:bCs/>
        <w:sz w:val="20"/>
        <w:szCs w:val="20"/>
        <w:lang w:val="de-DE"/>
      </w:rPr>
      <w:t>BA</w:t>
    </w:r>
    <w:r w:rsidR="00321CAE">
      <w:rPr>
        <w:rFonts w:ascii="Arial" w:hAnsi="Arial" w:cs="Arial"/>
        <w:b/>
        <w:bCs/>
        <w:sz w:val="20"/>
        <w:szCs w:val="20"/>
        <w:lang w:val="de-DE"/>
      </w:rPr>
      <w:t>.V.260.2</w:t>
    </w:r>
    <w:r w:rsidR="00AE11B5">
      <w:rPr>
        <w:rFonts w:ascii="Arial" w:hAnsi="Arial" w:cs="Arial"/>
        <w:b/>
        <w:bCs/>
        <w:sz w:val="20"/>
        <w:szCs w:val="20"/>
        <w:lang w:val="de-DE"/>
      </w:rPr>
      <w:t>8</w:t>
    </w:r>
    <w:r w:rsidR="00321CAE">
      <w:rPr>
        <w:rFonts w:ascii="Arial" w:hAnsi="Arial" w:cs="Arial"/>
        <w:b/>
        <w:bCs/>
        <w:sz w:val="20"/>
        <w:szCs w:val="20"/>
        <w:lang w:val="de-DE"/>
      </w:rP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CAE" w:rsidRDefault="00321C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1520"/>
    <w:multiLevelType w:val="multilevel"/>
    <w:tmpl w:val="581C7C70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CA41B81"/>
    <w:multiLevelType w:val="hybridMultilevel"/>
    <w:tmpl w:val="5C0A6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85548"/>
    <w:multiLevelType w:val="multilevel"/>
    <w:tmpl w:val="C26068DE"/>
    <w:lvl w:ilvl="0"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20E05C33"/>
    <w:multiLevelType w:val="multilevel"/>
    <w:tmpl w:val="DFC06980"/>
    <w:lvl w:ilvl="0">
      <w:start w:val="1"/>
      <w:numFmt w:val="bullet"/>
      <w:lvlText w:val="●"/>
      <w:lvlJc w:val="left"/>
      <w:pPr>
        <w:ind w:left="-36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-36" w:firstLine="0"/>
      </w:pPr>
    </w:lvl>
    <w:lvl w:ilvl="2">
      <w:start w:val="1"/>
      <w:numFmt w:val="bullet"/>
      <w:lvlText w:val=""/>
      <w:lvlJc w:val="left"/>
      <w:pPr>
        <w:ind w:left="-36" w:firstLine="0"/>
      </w:pPr>
    </w:lvl>
    <w:lvl w:ilvl="3">
      <w:start w:val="1"/>
      <w:numFmt w:val="bullet"/>
      <w:lvlText w:val=""/>
      <w:lvlJc w:val="left"/>
      <w:pPr>
        <w:ind w:left="-36" w:firstLine="0"/>
      </w:pPr>
    </w:lvl>
    <w:lvl w:ilvl="4">
      <w:start w:val="1"/>
      <w:numFmt w:val="bullet"/>
      <w:lvlText w:val=""/>
      <w:lvlJc w:val="left"/>
      <w:pPr>
        <w:ind w:left="-36" w:firstLine="0"/>
      </w:pPr>
    </w:lvl>
    <w:lvl w:ilvl="5">
      <w:start w:val="1"/>
      <w:numFmt w:val="bullet"/>
      <w:lvlText w:val=""/>
      <w:lvlJc w:val="left"/>
      <w:pPr>
        <w:ind w:left="-36" w:firstLine="0"/>
      </w:pPr>
    </w:lvl>
    <w:lvl w:ilvl="6">
      <w:start w:val="1"/>
      <w:numFmt w:val="bullet"/>
      <w:lvlText w:val=""/>
      <w:lvlJc w:val="left"/>
      <w:pPr>
        <w:ind w:left="-36" w:firstLine="0"/>
      </w:pPr>
    </w:lvl>
    <w:lvl w:ilvl="7">
      <w:start w:val="1"/>
      <w:numFmt w:val="bullet"/>
      <w:lvlText w:val=""/>
      <w:lvlJc w:val="left"/>
      <w:pPr>
        <w:ind w:left="-36" w:firstLine="0"/>
      </w:pPr>
    </w:lvl>
    <w:lvl w:ilvl="8">
      <w:start w:val="1"/>
      <w:numFmt w:val="bullet"/>
      <w:lvlText w:val=""/>
      <w:lvlJc w:val="left"/>
      <w:pPr>
        <w:ind w:left="-36" w:firstLine="0"/>
      </w:pPr>
    </w:lvl>
  </w:abstractNum>
  <w:abstractNum w:abstractNumId="4" w15:restartNumberingAfterBreak="0">
    <w:nsid w:val="26036D06"/>
    <w:multiLevelType w:val="hybridMultilevel"/>
    <w:tmpl w:val="1130A274"/>
    <w:lvl w:ilvl="0" w:tplc="A73635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42E0C"/>
    <w:multiLevelType w:val="hybridMultilevel"/>
    <w:tmpl w:val="B14A1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72B44"/>
    <w:multiLevelType w:val="multilevel"/>
    <w:tmpl w:val="DFC06980"/>
    <w:lvl w:ilvl="0">
      <w:start w:val="1"/>
      <w:numFmt w:val="bullet"/>
      <w:lvlText w:val="●"/>
      <w:lvlJc w:val="left"/>
      <w:pPr>
        <w:ind w:left="-36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-36" w:firstLine="0"/>
      </w:pPr>
    </w:lvl>
    <w:lvl w:ilvl="2">
      <w:start w:val="1"/>
      <w:numFmt w:val="bullet"/>
      <w:lvlText w:val=""/>
      <w:lvlJc w:val="left"/>
      <w:pPr>
        <w:ind w:left="-36" w:firstLine="0"/>
      </w:pPr>
    </w:lvl>
    <w:lvl w:ilvl="3">
      <w:start w:val="1"/>
      <w:numFmt w:val="bullet"/>
      <w:lvlText w:val=""/>
      <w:lvlJc w:val="left"/>
      <w:pPr>
        <w:ind w:left="-36" w:firstLine="0"/>
      </w:pPr>
    </w:lvl>
    <w:lvl w:ilvl="4">
      <w:start w:val="1"/>
      <w:numFmt w:val="bullet"/>
      <w:lvlText w:val=""/>
      <w:lvlJc w:val="left"/>
      <w:pPr>
        <w:ind w:left="-36" w:firstLine="0"/>
      </w:pPr>
    </w:lvl>
    <w:lvl w:ilvl="5">
      <w:start w:val="1"/>
      <w:numFmt w:val="bullet"/>
      <w:lvlText w:val=""/>
      <w:lvlJc w:val="left"/>
      <w:pPr>
        <w:ind w:left="-36" w:firstLine="0"/>
      </w:pPr>
    </w:lvl>
    <w:lvl w:ilvl="6">
      <w:start w:val="1"/>
      <w:numFmt w:val="bullet"/>
      <w:lvlText w:val=""/>
      <w:lvlJc w:val="left"/>
      <w:pPr>
        <w:ind w:left="-36" w:firstLine="0"/>
      </w:pPr>
    </w:lvl>
    <w:lvl w:ilvl="7">
      <w:start w:val="1"/>
      <w:numFmt w:val="bullet"/>
      <w:lvlText w:val=""/>
      <w:lvlJc w:val="left"/>
      <w:pPr>
        <w:ind w:left="-36" w:firstLine="0"/>
      </w:pPr>
    </w:lvl>
    <w:lvl w:ilvl="8">
      <w:start w:val="1"/>
      <w:numFmt w:val="bullet"/>
      <w:lvlText w:val=""/>
      <w:lvlJc w:val="left"/>
      <w:pPr>
        <w:ind w:left="-36" w:firstLine="0"/>
      </w:pPr>
    </w:lvl>
  </w:abstractNum>
  <w:abstractNum w:abstractNumId="7" w15:restartNumberingAfterBreak="0">
    <w:nsid w:val="346B2410"/>
    <w:multiLevelType w:val="multilevel"/>
    <w:tmpl w:val="6D9A2760"/>
    <w:lvl w:ilvl="0">
      <w:start w:val="1"/>
      <w:numFmt w:val="bullet"/>
      <w:lvlText w:val="●"/>
      <w:lvlJc w:val="left"/>
      <w:pPr>
        <w:ind w:left="1135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ACD00CD"/>
    <w:multiLevelType w:val="multilevel"/>
    <w:tmpl w:val="71FC5908"/>
    <w:lvl w:ilvl="0">
      <w:start w:val="1"/>
      <w:numFmt w:val="bullet"/>
      <w:lvlText w:val="●"/>
      <w:lvlJc w:val="left"/>
      <w:pPr>
        <w:ind w:left="1135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3F99020C"/>
    <w:multiLevelType w:val="multilevel"/>
    <w:tmpl w:val="92FA2666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FD764C7"/>
    <w:multiLevelType w:val="multilevel"/>
    <w:tmpl w:val="DFC06980"/>
    <w:lvl w:ilvl="0">
      <w:start w:val="1"/>
      <w:numFmt w:val="bullet"/>
      <w:lvlText w:val="●"/>
      <w:lvlJc w:val="left"/>
      <w:pPr>
        <w:ind w:left="-36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-36" w:firstLine="0"/>
      </w:pPr>
    </w:lvl>
    <w:lvl w:ilvl="2">
      <w:start w:val="1"/>
      <w:numFmt w:val="bullet"/>
      <w:lvlText w:val=""/>
      <w:lvlJc w:val="left"/>
      <w:pPr>
        <w:ind w:left="-36" w:firstLine="0"/>
      </w:pPr>
    </w:lvl>
    <w:lvl w:ilvl="3">
      <w:start w:val="1"/>
      <w:numFmt w:val="bullet"/>
      <w:lvlText w:val=""/>
      <w:lvlJc w:val="left"/>
      <w:pPr>
        <w:ind w:left="-36" w:firstLine="0"/>
      </w:pPr>
    </w:lvl>
    <w:lvl w:ilvl="4">
      <w:start w:val="1"/>
      <w:numFmt w:val="bullet"/>
      <w:lvlText w:val=""/>
      <w:lvlJc w:val="left"/>
      <w:pPr>
        <w:ind w:left="-36" w:firstLine="0"/>
      </w:pPr>
    </w:lvl>
    <w:lvl w:ilvl="5">
      <w:start w:val="1"/>
      <w:numFmt w:val="bullet"/>
      <w:lvlText w:val=""/>
      <w:lvlJc w:val="left"/>
      <w:pPr>
        <w:ind w:left="-36" w:firstLine="0"/>
      </w:pPr>
    </w:lvl>
    <w:lvl w:ilvl="6">
      <w:start w:val="1"/>
      <w:numFmt w:val="bullet"/>
      <w:lvlText w:val=""/>
      <w:lvlJc w:val="left"/>
      <w:pPr>
        <w:ind w:left="-36" w:firstLine="0"/>
      </w:pPr>
    </w:lvl>
    <w:lvl w:ilvl="7">
      <w:start w:val="1"/>
      <w:numFmt w:val="bullet"/>
      <w:lvlText w:val=""/>
      <w:lvlJc w:val="left"/>
      <w:pPr>
        <w:ind w:left="-36" w:firstLine="0"/>
      </w:pPr>
    </w:lvl>
    <w:lvl w:ilvl="8">
      <w:start w:val="1"/>
      <w:numFmt w:val="bullet"/>
      <w:lvlText w:val=""/>
      <w:lvlJc w:val="left"/>
      <w:pPr>
        <w:ind w:left="-36" w:firstLine="0"/>
      </w:pPr>
    </w:lvl>
  </w:abstractNum>
  <w:abstractNum w:abstractNumId="11" w15:restartNumberingAfterBreak="0">
    <w:nsid w:val="41D54A83"/>
    <w:multiLevelType w:val="hybridMultilevel"/>
    <w:tmpl w:val="2BF233F4"/>
    <w:lvl w:ilvl="0" w:tplc="7902BAFE">
      <w:start w:val="1"/>
      <w:numFmt w:val="lowerLetter"/>
      <w:lvlText w:val="%1."/>
      <w:lvlJc w:val="left"/>
      <w:pPr>
        <w:tabs>
          <w:tab w:val="num" w:pos="1066"/>
        </w:tabs>
        <w:ind w:left="106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12" w15:restartNumberingAfterBreak="0">
    <w:nsid w:val="4E80576C"/>
    <w:multiLevelType w:val="multilevel"/>
    <w:tmpl w:val="353C9F44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2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4EFA1033"/>
    <w:multiLevelType w:val="multilevel"/>
    <w:tmpl w:val="71FC5908"/>
    <w:lvl w:ilvl="0">
      <w:start w:val="1"/>
      <w:numFmt w:val="bullet"/>
      <w:lvlText w:val="●"/>
      <w:lvlJc w:val="left"/>
      <w:pPr>
        <w:ind w:left="1135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2611B7A"/>
    <w:multiLevelType w:val="multilevel"/>
    <w:tmpl w:val="581C7C70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5577D0A"/>
    <w:multiLevelType w:val="hybridMultilevel"/>
    <w:tmpl w:val="59B0269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79C07B3"/>
    <w:multiLevelType w:val="multilevel"/>
    <w:tmpl w:val="353C9F44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2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D8B35FE"/>
    <w:multiLevelType w:val="hybridMultilevel"/>
    <w:tmpl w:val="61A45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5744F"/>
    <w:multiLevelType w:val="hybridMultilevel"/>
    <w:tmpl w:val="AC1640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4"/>
  </w:num>
  <w:num w:numId="4">
    <w:abstractNumId w:val="2"/>
  </w:num>
  <w:num w:numId="5">
    <w:abstractNumId w:val="16"/>
  </w:num>
  <w:num w:numId="6">
    <w:abstractNumId w:val="10"/>
  </w:num>
  <w:num w:numId="7">
    <w:abstractNumId w:val="13"/>
  </w:num>
  <w:num w:numId="8">
    <w:abstractNumId w:val="5"/>
  </w:num>
  <w:num w:numId="9">
    <w:abstractNumId w:val="0"/>
  </w:num>
  <w:num w:numId="10">
    <w:abstractNumId w:val="15"/>
  </w:num>
  <w:num w:numId="11">
    <w:abstractNumId w:val="1"/>
  </w:num>
  <w:num w:numId="12">
    <w:abstractNumId w:val="12"/>
  </w:num>
  <w:num w:numId="13">
    <w:abstractNumId w:val="18"/>
  </w:num>
  <w:num w:numId="14">
    <w:abstractNumId w:val="8"/>
  </w:num>
  <w:num w:numId="15">
    <w:abstractNumId w:val="7"/>
  </w:num>
  <w:num w:numId="16">
    <w:abstractNumId w:val="14"/>
  </w:num>
  <w:num w:numId="17">
    <w:abstractNumId w:val="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8EC"/>
    <w:rsid w:val="00011075"/>
    <w:rsid w:val="000550ED"/>
    <w:rsid w:val="00055D71"/>
    <w:rsid w:val="00082019"/>
    <w:rsid w:val="000A6664"/>
    <w:rsid w:val="001068A9"/>
    <w:rsid w:val="00113F5B"/>
    <w:rsid w:val="00137DC8"/>
    <w:rsid w:val="0014684D"/>
    <w:rsid w:val="0016578E"/>
    <w:rsid w:val="001A2A81"/>
    <w:rsid w:val="001F003E"/>
    <w:rsid w:val="00241650"/>
    <w:rsid w:val="00251B61"/>
    <w:rsid w:val="00254C4B"/>
    <w:rsid w:val="0026040B"/>
    <w:rsid w:val="002F79AC"/>
    <w:rsid w:val="003004B0"/>
    <w:rsid w:val="00321CAE"/>
    <w:rsid w:val="003861BB"/>
    <w:rsid w:val="003C4E83"/>
    <w:rsid w:val="00400309"/>
    <w:rsid w:val="0047058C"/>
    <w:rsid w:val="004913D8"/>
    <w:rsid w:val="004F4AD0"/>
    <w:rsid w:val="00507254"/>
    <w:rsid w:val="00540FF6"/>
    <w:rsid w:val="00555F4D"/>
    <w:rsid w:val="005E13DA"/>
    <w:rsid w:val="006924AD"/>
    <w:rsid w:val="00696015"/>
    <w:rsid w:val="0074109B"/>
    <w:rsid w:val="007972AB"/>
    <w:rsid w:val="007D2AEB"/>
    <w:rsid w:val="007D31D4"/>
    <w:rsid w:val="008A409C"/>
    <w:rsid w:val="008B5D31"/>
    <w:rsid w:val="008C4CCC"/>
    <w:rsid w:val="008E3603"/>
    <w:rsid w:val="00947767"/>
    <w:rsid w:val="00952B7F"/>
    <w:rsid w:val="00952CE7"/>
    <w:rsid w:val="009A42C9"/>
    <w:rsid w:val="009D0C34"/>
    <w:rsid w:val="009F0974"/>
    <w:rsid w:val="00A133EF"/>
    <w:rsid w:val="00A9717A"/>
    <w:rsid w:val="00AE11B5"/>
    <w:rsid w:val="00B0004D"/>
    <w:rsid w:val="00B01B3B"/>
    <w:rsid w:val="00B1501C"/>
    <w:rsid w:val="00B21D4F"/>
    <w:rsid w:val="00BA716A"/>
    <w:rsid w:val="00BF2043"/>
    <w:rsid w:val="00CE040A"/>
    <w:rsid w:val="00CE1F6C"/>
    <w:rsid w:val="00CE28EC"/>
    <w:rsid w:val="00DD688A"/>
    <w:rsid w:val="00E233F2"/>
    <w:rsid w:val="00E9685D"/>
    <w:rsid w:val="00F30784"/>
    <w:rsid w:val="00F44457"/>
    <w:rsid w:val="00FB48D6"/>
    <w:rsid w:val="00FE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54779"/>
  <w15:chartTrackingRefBased/>
  <w15:docId w15:val="{3191D2AD-9DF6-40AD-B707-4D866E57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40F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E2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540F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40FF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0F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D2AEB"/>
    <w:pPr>
      <w:ind w:left="720"/>
      <w:contextualSpacing/>
    </w:pPr>
  </w:style>
  <w:style w:type="paragraph" w:customStyle="1" w:styleId="Default">
    <w:name w:val="Default"/>
    <w:rsid w:val="00952B7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3DA"/>
  </w:style>
  <w:style w:type="paragraph" w:styleId="Stopka">
    <w:name w:val="footer"/>
    <w:basedOn w:val="Normalny"/>
    <w:link w:val="StopkaZnak"/>
    <w:uiPriority w:val="99"/>
    <w:unhideWhenUsed/>
    <w:rsid w:val="005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0820F-63C0-4796-8E0C-78E3D255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1517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Boruc Wlodzimierz</dc:creator>
  <cp:keywords/>
  <dc:description/>
  <cp:lastModifiedBy>Gaust Grazyna</cp:lastModifiedBy>
  <cp:revision>7</cp:revision>
  <cp:lastPrinted>2021-12-09T08:33:00Z</cp:lastPrinted>
  <dcterms:created xsi:type="dcterms:W3CDTF">2025-11-28T12:33:00Z</dcterms:created>
  <dcterms:modified xsi:type="dcterms:W3CDTF">2025-12-01T10:09:00Z</dcterms:modified>
</cp:coreProperties>
</file>